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B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Answer this question. There are 12 marks for this question.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FF2" w:rsidRDefault="00770FF2" w:rsidP="00770FF2">
      <w:pPr>
        <w:rPr>
          <w:rFonts w:ascii="Arial" w:hAnsi="Arial" w:cs="Arial"/>
        </w:rPr>
      </w:pPr>
    </w:p>
    <w:p w:rsidR="00770FF2" w:rsidRDefault="00770FF2" w:rsidP="00770FF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Question 7 </w:t>
      </w:r>
    </w:p>
    <w:p w:rsidR="00770FF2" w:rsidRDefault="00770FF2" w:rsidP="00770FF2">
      <w:pPr>
        <w:pStyle w:val="Default"/>
        <w:rPr>
          <w:sz w:val="23"/>
          <w:szCs w:val="23"/>
        </w:rPr>
      </w:pPr>
    </w:p>
    <w:p w:rsidR="00770FF2" w:rsidRDefault="00770FF2" w:rsidP="00770F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been asked to improve the fitness and skills of a group of AS level physical education students. </w:t>
      </w:r>
    </w:p>
    <w:p w:rsidR="00770FF2" w:rsidRDefault="00770FF2" w:rsidP="00770FF2">
      <w:pPr>
        <w:pStyle w:val="Default"/>
        <w:rPr>
          <w:sz w:val="22"/>
          <w:szCs w:val="22"/>
        </w:rPr>
      </w:pPr>
    </w:p>
    <w:p w:rsidR="00770FF2" w:rsidRDefault="00770FF2" w:rsidP="00770F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Describe how you would apply the ‘FITT principles’ </w:t>
      </w:r>
      <w:r>
        <w:rPr>
          <w:b/>
          <w:bCs/>
          <w:sz w:val="22"/>
          <w:szCs w:val="22"/>
        </w:rPr>
        <w:t xml:space="preserve">and </w:t>
      </w:r>
      <w:r>
        <w:rPr>
          <w:sz w:val="22"/>
          <w:szCs w:val="22"/>
        </w:rPr>
        <w:t>‘specificity’ to improve fitness.</w:t>
      </w:r>
    </w:p>
    <w:p w:rsidR="00770FF2" w:rsidRDefault="00770FF2" w:rsidP="00770FF2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p w:rsidR="00770FF2" w:rsidRDefault="00770FF2" w:rsidP="00770F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Explain how the characteristics of the learner </w:t>
      </w:r>
      <w:r>
        <w:rPr>
          <w:b/>
          <w:bCs/>
          <w:sz w:val="22"/>
          <w:szCs w:val="22"/>
        </w:rPr>
        <w:t xml:space="preserve">and </w:t>
      </w:r>
      <w:r>
        <w:rPr>
          <w:sz w:val="22"/>
          <w:szCs w:val="22"/>
        </w:rPr>
        <w:t xml:space="preserve">the situation may influence your decision to use ‘command style’ teaching to improve the skills of the group. </w:t>
      </w:r>
    </w:p>
    <w:p w:rsidR="00770FF2" w:rsidRDefault="00770FF2" w:rsidP="00770FF2">
      <w:pPr>
        <w:pStyle w:val="Default"/>
        <w:rPr>
          <w:sz w:val="22"/>
          <w:szCs w:val="22"/>
        </w:rPr>
      </w:pPr>
    </w:p>
    <w:p w:rsidR="00770FF2" w:rsidRDefault="00770FF2" w:rsidP="00770FF2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4210"/>
      </w:tblGrid>
      <w:tr w:rsidR="00770FF2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4210" w:type="dxa"/>
          </w:tcPr>
          <w:p w:rsidR="00770FF2" w:rsidRDefault="00770FF2" w:rsidP="00770FF2">
            <w:pPr>
              <w:pStyle w:val="Default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(12 marks) </w:t>
            </w:r>
          </w:p>
          <w:p w:rsidR="00770FF2" w:rsidRDefault="00770FF2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FITT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Overload – work/train harder than normal;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Causes adaptations/body adapts;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Frequency – train more often;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Intensity – train harder;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Type – use different forms of exercise/activity;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Time/duration – train for longer;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Specificity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Use same energy system/aerobic/ anaerobic;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Use same muscle fibre-type/slow/fast-twitch;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Use similar skills/movements;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Use similar intensity to activity;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Use similar duration/time to activity;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Command style – depends on: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Use for cognitive learner;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Use when learner lacks fitness;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Use if learner lacks motivation;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O. Use if teacher/coach has limited experience/lacks confidence;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Use if class misbehaves/hard to control/disruptive;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Q. Use with large numbers to teach;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Use when little equipment/time;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Use if skill has element of risk/ dangerous/safety concerns;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 Use if skill is highly complex/difficult;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10" w:type="dxa"/>
          </w:tcPr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Answers must state principles are applied to exercise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– 2 named types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NOT accept similar to sport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Answers must state under what circumstances command style is to be used </w:t>
            </w:r>
          </w:p>
          <w:p w:rsidR="00770FF2" w:rsidRDefault="00770F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key word </w:t>
            </w:r>
          </w:p>
        </w:tc>
      </w:tr>
    </w:tbl>
    <w:p w:rsidR="00770FF2" w:rsidRDefault="00770FF2" w:rsidP="00770FF2">
      <w:pPr>
        <w:rPr>
          <w:rFonts w:ascii="Arial" w:hAnsi="Arial" w:cs="Arial"/>
        </w:rPr>
      </w:pPr>
    </w:p>
    <w:p w:rsidR="00770FF2" w:rsidRDefault="00770FF2" w:rsidP="00770FF2">
      <w:pPr>
        <w:rPr>
          <w:rFonts w:ascii="Arial" w:hAnsi="Arial" w:cs="Arial"/>
        </w:rPr>
      </w:pPr>
    </w:p>
    <w:p w:rsidR="00770FF2" w:rsidRDefault="00770FF2" w:rsidP="00770FF2">
      <w:pPr>
        <w:rPr>
          <w:rFonts w:ascii="Arial" w:hAnsi="Arial" w:cs="Arial"/>
        </w:rPr>
      </w:pP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7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question asked students to talk about training principles and the use of command style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teaching</w:t>
      </w:r>
      <w:proofErr w:type="gramEnd"/>
      <w:r>
        <w:rPr>
          <w:rFonts w:ascii="Arial" w:hAnsi="Arial" w:cs="Arial"/>
        </w:rPr>
        <w:t>. The banded mark scheme used for this stretch and challenge aspect of the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examination</w:t>
      </w:r>
      <w:proofErr w:type="gramEnd"/>
      <w:r>
        <w:rPr>
          <w:rFonts w:ascii="Arial" w:hAnsi="Arial" w:cs="Arial"/>
        </w:rPr>
        <w:t xml:space="preserve"> requires students to do more than simply put down 12 creditworthy points to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gain</w:t>
      </w:r>
      <w:proofErr w:type="gramEnd"/>
      <w:r>
        <w:rPr>
          <w:rFonts w:ascii="Arial" w:hAnsi="Arial" w:cs="Arial"/>
        </w:rPr>
        <w:t xml:space="preserve"> maximum marks. Marks are awarded for the whole of the response, taking into account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range and depth of knowledge, answering all (both) areas of the question and the use of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good</w:t>
      </w:r>
      <w:proofErr w:type="gramEnd"/>
      <w:r>
        <w:rPr>
          <w:rFonts w:ascii="Arial" w:hAnsi="Arial" w:cs="Arial"/>
        </w:rPr>
        <w:t xml:space="preserve"> technical language and grammar.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Many students seemed restricted in their responses as the question involved a group of AS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 students.</w:t>
      </w:r>
      <w:proofErr w:type="gramEnd"/>
      <w:r>
        <w:rPr>
          <w:rFonts w:ascii="Arial" w:hAnsi="Arial" w:cs="Arial"/>
        </w:rPr>
        <w:t xml:space="preserve"> Students may have then made the assumption that such a group could not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possibly</w:t>
      </w:r>
      <w:proofErr w:type="gramEnd"/>
      <w:r>
        <w:rPr>
          <w:rFonts w:ascii="Arial" w:hAnsi="Arial" w:cs="Arial"/>
        </w:rPr>
        <w:t xml:space="preserve"> be beginners or learners and therefore failed to use these thoughts in their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responses</w:t>
      </w:r>
      <w:proofErr w:type="gramEnd"/>
      <w:r>
        <w:rPr>
          <w:rFonts w:ascii="Arial" w:hAnsi="Arial" w:cs="Arial"/>
        </w:rPr>
        <w:t>. The use of a group of AS PE students is the norm for this question and such a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group</w:t>
      </w:r>
      <w:proofErr w:type="gramEnd"/>
      <w:r>
        <w:rPr>
          <w:rFonts w:ascii="Arial" w:hAnsi="Arial" w:cs="Arial"/>
        </w:rPr>
        <w:t xml:space="preserve"> can easily be novices when it comes to any aspect of the Applied Exercise Physiology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Skill Acquisition in a practical situation question, especially when it comes to the Skill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Acquisition component.</w:t>
      </w:r>
      <w:proofErr w:type="gramEnd"/>
      <w:r>
        <w:rPr>
          <w:rFonts w:ascii="Arial" w:hAnsi="Arial" w:cs="Arial"/>
        </w:rPr>
        <w:t xml:space="preserve"> AS PE students can easily be being taught things that they have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never</w:t>
      </w:r>
      <w:proofErr w:type="gramEnd"/>
      <w:r>
        <w:rPr>
          <w:rFonts w:ascii="Arial" w:hAnsi="Arial" w:cs="Arial"/>
        </w:rPr>
        <w:t xml:space="preserve"> encountered before, or that they have yet to clearly grasp. Similarly, the stating of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assumed</w:t>
      </w:r>
      <w:proofErr w:type="gramEnd"/>
      <w:r>
        <w:rPr>
          <w:rFonts w:ascii="Arial" w:hAnsi="Arial" w:cs="Arial"/>
        </w:rPr>
        <w:t xml:space="preserve"> knowledge of the subjects in terms of the time available to train or coach them, the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number</w:t>
      </w:r>
      <w:proofErr w:type="gramEnd"/>
      <w:r>
        <w:rPr>
          <w:rFonts w:ascii="Arial" w:hAnsi="Arial" w:cs="Arial"/>
        </w:rPr>
        <w:t xml:space="preserve"> of students involved, and the facilities available cannot and should not be made.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FITT principles were often stated as frequency, intensity, time and type (tedium was also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often stated and credited), but students rarely explained what these words mean. Simply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stating</w:t>
      </w:r>
      <w:proofErr w:type="gramEnd"/>
      <w:r>
        <w:rPr>
          <w:rFonts w:ascii="Arial" w:hAnsi="Arial" w:cs="Arial"/>
        </w:rPr>
        <w:t xml:space="preserve"> that ‘F stands for frequency and you should increase the frequency’ was not credited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the student had not explained what frequency means. The role of these factors in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inducing</w:t>
      </w:r>
      <w:proofErr w:type="gramEnd"/>
      <w:r>
        <w:rPr>
          <w:rFonts w:ascii="Arial" w:hAnsi="Arial" w:cs="Arial"/>
        </w:rPr>
        <w:t xml:space="preserve"> overload was not well-understood by most students and the idea of overload, on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the FITT principles are hung, was not understood by many, with responses such as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‘dangers of overloading’ being quite common. To gain credit, students needed to state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describe the FITT principles and explain how they are used to produce overload and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explain how overload benefits the performer. The concept of specificity was invariably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limited</w:t>
      </w:r>
      <w:proofErr w:type="gramEnd"/>
      <w:r>
        <w:rPr>
          <w:rFonts w:ascii="Arial" w:hAnsi="Arial" w:cs="Arial"/>
        </w:rPr>
        <w:t xml:space="preserve"> to stating that training needed to be ‘specific to their sport’, which was considered to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too vague to be worthy of credit. Training needs to be skill-specific, movement-specific,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energy</w:t>
      </w:r>
      <w:proofErr w:type="gramEnd"/>
      <w:r>
        <w:rPr>
          <w:rFonts w:ascii="Arial" w:hAnsi="Arial" w:cs="Arial"/>
        </w:rPr>
        <w:t xml:space="preserve"> system-specific, muscle fibre-specific, duration-specific and intensity-specific.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command style of teaching was understood by the vast majority of the students. It was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necessary for students to suggest that command style was not the best style to use for a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particular</w:t>
      </w:r>
      <w:proofErr w:type="gramEnd"/>
      <w:r>
        <w:rPr>
          <w:rFonts w:ascii="Arial" w:hAnsi="Arial" w:cs="Arial"/>
        </w:rPr>
        <w:t xml:space="preserve"> group and discuss, in considerable detail, other teaching styles. When stated, the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reasons</w:t>
      </w:r>
      <w:proofErr w:type="gramEnd"/>
      <w:r>
        <w:rPr>
          <w:rFonts w:ascii="Arial" w:hAnsi="Arial" w:cs="Arial"/>
        </w:rPr>
        <w:t xml:space="preserve"> for adopting command style often lacked depth and only referred to the idea of using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command style with large groups, in dangerous situations. When the ability of the group was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referenced, credit was only given to students who stated that cognitive learners were linked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command style as other descriptions, such as beginners, novices, young, or</w:t>
      </w:r>
    </w:p>
    <w:p w:rsidR="00770FF2" w:rsidRDefault="00770FF2" w:rsidP="0077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inexperienced</w:t>
      </w:r>
      <w:proofErr w:type="gramEnd"/>
      <w:r>
        <w:rPr>
          <w:rFonts w:ascii="Arial" w:hAnsi="Arial" w:cs="Arial"/>
        </w:rPr>
        <w:t>, were considered too vague. Consideration of the use of command style for</w:t>
      </w:r>
    </w:p>
    <w:p w:rsidR="00770FF2" w:rsidRDefault="00770FF2" w:rsidP="00770FF2">
      <w:proofErr w:type="gramStart"/>
      <w:r>
        <w:rPr>
          <w:rFonts w:ascii="Arial" w:hAnsi="Arial" w:cs="Arial"/>
        </w:rPr>
        <w:t>complex</w:t>
      </w:r>
      <w:proofErr w:type="gramEnd"/>
      <w:r>
        <w:rPr>
          <w:rFonts w:ascii="Arial" w:hAnsi="Arial" w:cs="Arial"/>
        </w:rPr>
        <w:t xml:space="preserve"> skills, when the teacher lacks experience or confidence, for when the learner lacks</w:t>
      </w:r>
    </w:p>
    <w:sectPr w:rsidR="00770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F2"/>
    <w:rsid w:val="00770FF2"/>
    <w:rsid w:val="00E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1</cp:revision>
  <dcterms:created xsi:type="dcterms:W3CDTF">2013-04-16T20:22:00Z</dcterms:created>
  <dcterms:modified xsi:type="dcterms:W3CDTF">2013-04-16T20:26:00Z</dcterms:modified>
</cp:coreProperties>
</file>